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06" w:type="dxa"/>
        <w:jc w:val="left"/>
        <w:tblInd w:w="0" w:type="dxa"/>
        <w:tblLayout w:type="fixed"/>
        <w:tblCellMar>
          <w:top w:w="28" w:type="dxa"/>
          <w:left w:w="28" w:type="dxa"/>
          <w:bottom w:w="28" w:type="dxa"/>
          <w:right w:w="28" w:type="dxa"/>
        </w:tblCellMar>
      </w:tblPr>
      <w:tblGrid>
        <w:gridCol w:w="7006"/>
      </w:tblGrid>
      <w:tr>
        <w:trPr/>
        <w:tc>
          <w:tcPr>
            <w:tcW w:w="70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left"/>
              <w:rPr/>
            </w:pPr>
            <w:r>
              <w:rPr/>
              <w:t xml:space="preserve">UNDER THE SECURITIES EXCHANGE ACT OF 1934 </w:t>
            </w:r>
          </w:p>
        </w:tc>
      </w:tr>
      <w:tr>
        <w:trPr/>
        <w:tc>
          <w:tcPr>
            <w:tcW w:w="7006" w:type="dxa"/>
            <w:tcBorders/>
            <w:vAlign w:val="center"/>
          </w:tcPr>
          <w:p>
            <w:pPr>
              <w:pStyle w:val="TableContents"/>
              <w:bidi w:val="0"/>
              <w:spacing w:before="0" w:after="283"/>
              <w:jc w:val="left"/>
              <w:rPr>
                <w:sz w:val="4"/>
                <w:szCs w:val="4"/>
              </w:rPr>
            </w:pPr>
            <w:r>
              <w:rPr>
                <w:sz w:val="4"/>
                <w:szCs w:val="4"/>
              </w:rPr>
            </w:r>
          </w:p>
        </w:tc>
      </w:tr>
      <w:tr>
        <w:trPr/>
        <w:tc>
          <w:tcPr>
            <w:tcW w:w="7006" w:type="dxa"/>
            <w:tcBorders/>
            <w:vAlign w:val="center"/>
          </w:tcPr>
          <w:p>
            <w:pPr>
              <w:pStyle w:val="TableContents"/>
              <w:bidi w:val="0"/>
              <w:spacing w:before="0" w:after="0"/>
              <w:jc w:val="center"/>
              <w:rPr>
                <w:b/>
                <w:color w:val="0000FF"/>
              </w:rPr>
            </w:pPr>
            <w:r>
              <w:rPr>
                <w:b/>
                <w:color w:val="0000FF"/>
              </w:rPr>
              <w:t>Micware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center"/>
              <w:rPr>
                <w:b/>
                <w:color w:val="0000FF"/>
              </w:rPr>
            </w:pPr>
            <w:r>
              <w:rPr>
                <w:b/>
                <w:color w:val="0000FF"/>
              </w:rPr>
              <w:t>American Depositary Shares, each representing one ordinary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Shigeno Masahide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5,451,420.00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5,451,420.00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5,451,420.00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and 7: Represents (i) 4,699,500 ordinary shares directly held by Masahide Shigeno and (ii) an aggregate of 751,920 ordinary shares issuable upon exercise of stock options held by Masahide Shigeno as of June 30, 2026. Note to Row 11: Percentage of class is calculated based on (i) 59,419,414 ordinary shares outstanding and (ii) an aggregate of 751,920 ordinary shares issuable upon exercise of stock options held by Masahide Shigeno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Micware Co.,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Kobe Asahi Building 25th Floor 59 Naniwa-machi, Chuo-ku Kobe, Hyogo 650-0035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Masahide Shigeno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Kobe Asahi Building 25th Floor 59 Naniwa-machi, Chuo-ku Kobe, Hyogo 650-0035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Japan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5,451,420.00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5,451,420.00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5,451,420.00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Shigeno Masahide</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Masahide Shigeno</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Masahide Shigeno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3825</Characters>
  <CharactersWithSpaces>4540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